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ind w:firstLine="1325" w:firstLineChars="550"/>
        <w:rPr>
          <w:rFonts w:hint="default" w:ascii="ＭＳ 明朝" w:hAnsi="ＭＳ 明朝"/>
          <w:b w:val="1"/>
        </w:rPr>
      </w:pPr>
      <w:r>
        <w:rPr>
          <w:rFonts w:hint="eastAsia" w:ascii="ＭＳ 明朝" w:hAnsi="ＭＳ 明朝"/>
          <w:b w:val="1"/>
        </w:rPr>
        <w:t>令和４年度富士川町における障害者就労施設等からの</w:t>
      </w:r>
    </w:p>
    <w:p>
      <w:pPr>
        <w:pStyle w:val="15"/>
        <w:ind w:firstLine="1325" w:firstLineChars="550"/>
        <w:jc w:val="both"/>
        <w:rPr>
          <w:rFonts w:hint="default" w:ascii="ＭＳ 明朝" w:hAnsi="ＭＳ 明朝"/>
          <w:b w:val="1"/>
        </w:rPr>
      </w:pPr>
      <w:r>
        <w:rPr>
          <w:rFonts w:hint="eastAsia" w:ascii="ＭＳ 明朝" w:hAnsi="ＭＳ 明朝"/>
          <w:b w:val="1"/>
        </w:rPr>
        <w:t>物品等の調達の推進を図るための方針</w:t>
      </w:r>
    </w:p>
    <w:p>
      <w:pPr>
        <w:pStyle w:val="15"/>
        <w:rPr>
          <w:rFonts w:hint="default" w:ascii="ＭＳ 明朝" w:hAnsi="ＭＳ 明朝"/>
        </w:rPr>
      </w:pPr>
    </w:p>
    <w:p>
      <w:pPr>
        <w:pStyle w:val="15"/>
        <w:ind w:right="960"/>
        <w:rPr>
          <w:rFonts w:hint="default" w:ascii="ＭＳ 明朝" w:hAnsi="ＭＳ 明朝"/>
          <w:b w:val="1"/>
        </w:rPr>
      </w:pPr>
      <w:r>
        <w:rPr>
          <w:rFonts w:hint="eastAsia" w:ascii="ＭＳ 明朝" w:hAnsi="ＭＳ 明朝"/>
          <w:b w:val="1"/>
        </w:rPr>
        <w:t>１　趣旨</w:t>
      </w:r>
    </w:p>
    <w:p>
      <w:pPr>
        <w:pStyle w:val="15"/>
        <w:rPr>
          <w:rFonts w:hint="default" w:ascii="ＭＳ 明朝" w:hAnsi="ＭＳ 明朝"/>
        </w:rPr>
      </w:pPr>
      <w:r>
        <w:rPr>
          <w:rFonts w:hint="eastAsia" w:ascii="ＭＳ 明朝" w:hAnsi="ＭＳ 明朝"/>
        </w:rPr>
        <w:t>　国等による障害者就労施設等からの物品等の調達の推進等に関する法律</w:t>
      </w:r>
      <w:r>
        <w:rPr>
          <w:rFonts w:hint="eastAsia" w:ascii="ＭＳ 明朝" w:hAnsi="ＭＳ 明朝"/>
        </w:rPr>
        <w:t>(</w:t>
      </w:r>
      <w:r>
        <w:rPr>
          <w:rFonts w:hint="eastAsia" w:ascii="ＭＳ 明朝" w:hAnsi="ＭＳ 明朝"/>
        </w:rPr>
        <w:t>平成２４年法律第５</w:t>
      </w:r>
      <w:bookmarkStart w:id="0" w:name="_GoBack"/>
      <w:bookmarkEnd w:id="0"/>
      <w:r>
        <w:rPr>
          <w:rFonts w:hint="eastAsia" w:ascii="ＭＳ 明朝" w:hAnsi="ＭＳ 明朝"/>
        </w:rPr>
        <w:t>０号。以下「障害者優先調達法」という。</w:t>
      </w:r>
      <w:r>
        <w:rPr>
          <w:rFonts w:hint="eastAsia" w:ascii="ＭＳ 明朝" w:hAnsi="ＭＳ 明朝"/>
        </w:rPr>
        <w:t>)</w:t>
      </w:r>
      <w:r>
        <w:rPr>
          <w:rFonts w:hint="eastAsia" w:ascii="ＭＳ 明朝" w:hAnsi="ＭＳ 明朝"/>
        </w:rPr>
        <w:t>第９条第１項の規定に基づき、障害者就労施設等</w:t>
      </w:r>
      <w:r>
        <w:rPr>
          <w:rFonts w:hint="eastAsia" w:ascii="ＭＳ 明朝" w:hAnsi="ＭＳ 明朝"/>
        </w:rPr>
        <w:t>(</w:t>
      </w:r>
      <w:r>
        <w:rPr>
          <w:rFonts w:hint="eastAsia" w:ascii="ＭＳ 明朝" w:hAnsi="ＭＳ 明朝"/>
        </w:rPr>
        <w:t>以下「施設等」という。</w:t>
      </w:r>
      <w:r>
        <w:rPr>
          <w:rFonts w:hint="eastAsia" w:ascii="ＭＳ 明朝" w:hAnsi="ＭＳ 明朝"/>
        </w:rPr>
        <w:t>)</w:t>
      </w:r>
      <w:r>
        <w:rPr>
          <w:rFonts w:hint="eastAsia" w:ascii="ＭＳ 明朝" w:hAnsi="ＭＳ 明朝"/>
        </w:rPr>
        <w:t>からの物品及び役務</w:t>
      </w:r>
      <w:r>
        <w:rPr>
          <w:rFonts w:hint="eastAsia" w:ascii="ＭＳ 明朝" w:hAnsi="ＭＳ 明朝"/>
        </w:rPr>
        <w:t>(</w:t>
      </w:r>
      <w:r>
        <w:rPr>
          <w:rFonts w:hint="eastAsia" w:ascii="ＭＳ 明朝" w:hAnsi="ＭＳ 明朝"/>
        </w:rPr>
        <w:t>以下「物品等」という。</w:t>
      </w:r>
      <w:r>
        <w:rPr>
          <w:rFonts w:hint="eastAsia" w:ascii="ＭＳ 明朝" w:hAnsi="ＭＳ 明朝"/>
        </w:rPr>
        <w:t>)</w:t>
      </w:r>
      <w:r>
        <w:rPr>
          <w:rFonts w:hint="eastAsia" w:ascii="ＭＳ 明朝" w:hAnsi="ＭＳ 明朝"/>
        </w:rPr>
        <w:t>の調達の推進を図るための方針</w:t>
      </w:r>
      <w:r>
        <w:rPr>
          <w:rFonts w:hint="eastAsia" w:ascii="ＭＳ 明朝" w:hAnsi="ＭＳ 明朝"/>
        </w:rPr>
        <w:t>(</w:t>
      </w:r>
      <w:r>
        <w:rPr>
          <w:rFonts w:hint="eastAsia" w:ascii="ＭＳ 明朝" w:hAnsi="ＭＳ 明朝"/>
        </w:rPr>
        <w:t>以下「調達方針」という。</w:t>
      </w:r>
      <w:r>
        <w:rPr>
          <w:rFonts w:hint="eastAsia" w:ascii="ＭＳ 明朝" w:hAnsi="ＭＳ 明朝"/>
        </w:rPr>
        <w:t>)</w:t>
      </w:r>
      <w:r>
        <w:rPr>
          <w:rFonts w:hint="eastAsia" w:ascii="ＭＳ 明朝" w:hAnsi="ＭＳ 明朝"/>
        </w:rPr>
        <w:t>を定める。</w:t>
      </w:r>
    </w:p>
    <w:p>
      <w:pPr>
        <w:pStyle w:val="0"/>
        <w:rPr>
          <w:rFonts w:hint="default"/>
          <w:sz w:val="24"/>
        </w:rPr>
      </w:pPr>
    </w:p>
    <w:p>
      <w:pPr>
        <w:pStyle w:val="0"/>
        <w:rPr>
          <w:rFonts w:hint="default"/>
          <w:b w:val="1"/>
          <w:sz w:val="24"/>
        </w:rPr>
      </w:pPr>
      <w:r>
        <w:rPr>
          <w:rFonts w:hint="eastAsia"/>
          <w:b w:val="1"/>
          <w:sz w:val="24"/>
        </w:rPr>
        <w:t>２　適用範囲</w:t>
      </w:r>
    </w:p>
    <w:p>
      <w:pPr>
        <w:pStyle w:val="0"/>
        <w:rPr>
          <w:rFonts w:hint="default"/>
          <w:sz w:val="24"/>
        </w:rPr>
      </w:pPr>
      <w:r>
        <w:rPr>
          <w:rFonts w:hint="eastAsia"/>
          <w:sz w:val="24"/>
        </w:rPr>
        <w:t>　調達方針は、本町の全ての機関における物品等の調達に適用する。</w:t>
      </w:r>
    </w:p>
    <w:p>
      <w:pPr>
        <w:pStyle w:val="0"/>
        <w:rPr>
          <w:rFonts w:hint="default"/>
          <w:sz w:val="24"/>
        </w:rPr>
      </w:pPr>
    </w:p>
    <w:p>
      <w:pPr>
        <w:pStyle w:val="0"/>
        <w:rPr>
          <w:rFonts w:hint="default"/>
          <w:b w:val="1"/>
          <w:sz w:val="24"/>
        </w:rPr>
      </w:pPr>
      <w:r>
        <w:rPr>
          <w:rFonts w:hint="eastAsia"/>
          <w:b w:val="1"/>
          <w:sz w:val="24"/>
        </w:rPr>
        <w:t>３　対象となる施設等</w:t>
      </w:r>
    </w:p>
    <w:p>
      <w:pPr>
        <w:pStyle w:val="0"/>
        <w:rPr>
          <w:rFonts w:hint="default"/>
          <w:sz w:val="24"/>
        </w:rPr>
      </w:pPr>
      <w:r>
        <w:rPr>
          <w:rFonts w:hint="eastAsia"/>
          <w:sz w:val="24"/>
        </w:rPr>
        <w:t>　調達方針の対象となる施設等は、別表に掲げる施設等のうち、その所在地又は住所が山梨県内にあるものとする。</w:t>
      </w:r>
    </w:p>
    <w:p>
      <w:pPr>
        <w:pStyle w:val="0"/>
        <w:rPr>
          <w:rFonts w:hint="default"/>
          <w:sz w:val="24"/>
        </w:rPr>
      </w:pPr>
    </w:p>
    <w:p>
      <w:pPr>
        <w:pStyle w:val="0"/>
        <w:rPr>
          <w:rFonts w:hint="default"/>
          <w:b w:val="1"/>
          <w:sz w:val="24"/>
        </w:rPr>
      </w:pPr>
      <w:r>
        <w:rPr>
          <w:rFonts w:hint="eastAsia"/>
          <w:b w:val="1"/>
          <w:sz w:val="24"/>
        </w:rPr>
        <w:t>４　調達する物品等</w:t>
      </w:r>
    </w:p>
    <w:p>
      <w:pPr>
        <w:pStyle w:val="0"/>
        <w:rPr>
          <w:rFonts w:hint="default"/>
          <w:sz w:val="24"/>
        </w:rPr>
      </w:pPr>
      <w:r>
        <w:rPr>
          <w:rFonts w:hint="eastAsia"/>
          <w:sz w:val="24"/>
        </w:rPr>
        <w:t>　本町が調達を推進する物品等は、次のとおりとする。</w:t>
      </w:r>
    </w:p>
    <w:tbl>
      <w:tblPr>
        <w:tblStyle w:val="11"/>
        <w:tblW w:w="84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4"/>
        <w:gridCol w:w="2277"/>
        <w:gridCol w:w="5617"/>
      </w:tblGrid>
      <w:tr>
        <w:trPr>
          <w:trHeight w:val="391" w:hRule="atLeast"/>
        </w:trPr>
        <w:tc>
          <w:tcPr>
            <w:tcW w:w="2783" w:type="dxa"/>
            <w:gridSpan w:val="2"/>
            <w:vAlign w:val="center"/>
          </w:tcPr>
          <w:p>
            <w:pPr>
              <w:pStyle w:val="0"/>
              <w:jc w:val="center"/>
              <w:rPr>
                <w:rFonts w:hint="default"/>
                <w:sz w:val="24"/>
              </w:rPr>
            </w:pPr>
            <w:r>
              <w:rPr>
                <w:rFonts w:hint="eastAsia"/>
                <w:sz w:val="24"/>
              </w:rPr>
              <w:t>区分</w:t>
            </w:r>
          </w:p>
        </w:tc>
        <w:tc>
          <w:tcPr>
            <w:tcW w:w="5617" w:type="dxa"/>
            <w:vAlign w:val="center"/>
          </w:tcPr>
          <w:p>
            <w:pPr>
              <w:pStyle w:val="0"/>
              <w:jc w:val="center"/>
              <w:rPr>
                <w:rFonts w:hint="default"/>
                <w:sz w:val="24"/>
              </w:rPr>
            </w:pPr>
            <w:r>
              <w:rPr>
                <w:rFonts w:hint="eastAsia"/>
                <w:sz w:val="24"/>
              </w:rPr>
              <w:t>具体的な物品等の例示</w:t>
            </w:r>
          </w:p>
        </w:tc>
      </w:tr>
      <w:tr>
        <w:trPr>
          <w:trHeight w:val="391" w:hRule="atLeast"/>
        </w:trPr>
        <w:tc>
          <w:tcPr>
            <w:tcW w:w="506" w:type="dxa"/>
            <w:vMerge w:val="restart"/>
            <w:textDirection w:val="tbRlV"/>
            <w:vAlign w:val="center"/>
          </w:tcPr>
          <w:p>
            <w:pPr>
              <w:pStyle w:val="0"/>
              <w:ind w:left="113" w:right="113"/>
              <w:jc w:val="center"/>
              <w:rPr>
                <w:rFonts w:hint="default"/>
                <w:sz w:val="24"/>
              </w:rPr>
            </w:pPr>
            <w:r>
              <w:rPr>
                <w:rFonts w:hint="eastAsia"/>
                <w:sz w:val="24"/>
              </w:rPr>
              <w:t>物品</w:t>
            </w:r>
          </w:p>
        </w:tc>
        <w:tc>
          <w:tcPr>
            <w:tcW w:w="2277" w:type="dxa"/>
            <w:vAlign w:val="center"/>
          </w:tcPr>
          <w:p>
            <w:pPr>
              <w:pStyle w:val="0"/>
              <w:rPr>
                <w:rFonts w:hint="default"/>
                <w:sz w:val="24"/>
              </w:rPr>
            </w:pPr>
            <w:r>
              <w:rPr>
                <w:rFonts w:hint="eastAsia"/>
                <w:sz w:val="24"/>
              </w:rPr>
              <w:t>事務用品</w:t>
            </w:r>
          </w:p>
        </w:tc>
        <w:tc>
          <w:tcPr>
            <w:tcW w:w="5617" w:type="dxa"/>
            <w:vAlign w:val="center"/>
          </w:tcPr>
          <w:p>
            <w:pPr>
              <w:pStyle w:val="0"/>
              <w:rPr>
                <w:rFonts w:hint="default"/>
                <w:sz w:val="24"/>
              </w:rPr>
            </w:pPr>
            <w:r>
              <w:rPr>
                <w:rFonts w:hint="eastAsia"/>
                <w:sz w:val="24"/>
              </w:rPr>
              <w:t>コピー用紙、図面袋、フラットファイル等</w:t>
            </w:r>
          </w:p>
        </w:tc>
      </w:tr>
      <w:tr>
        <w:trPr>
          <w:trHeight w:val="391" w:hRule="atLeast"/>
        </w:trPr>
        <w:tc>
          <w:tcPr>
            <w:tcW w:w="506" w:type="dxa"/>
            <w:vMerge w:val="continue"/>
            <w:textDirection w:val="tbRlV"/>
            <w:vAlign w:val="top"/>
          </w:tcPr>
          <w:p>
            <w:pPr>
              <w:pStyle w:val="0"/>
              <w:ind w:left="-24" w:right="113"/>
              <w:jc w:val="center"/>
              <w:rPr>
                <w:rFonts w:hint="default"/>
                <w:sz w:val="24"/>
              </w:rPr>
            </w:pPr>
          </w:p>
        </w:tc>
        <w:tc>
          <w:tcPr>
            <w:tcW w:w="2277" w:type="dxa"/>
            <w:vAlign w:val="center"/>
          </w:tcPr>
          <w:p>
            <w:pPr>
              <w:pStyle w:val="0"/>
              <w:rPr>
                <w:rFonts w:hint="default"/>
                <w:sz w:val="24"/>
              </w:rPr>
            </w:pPr>
            <w:r>
              <w:rPr>
                <w:rFonts w:hint="eastAsia"/>
                <w:sz w:val="24"/>
              </w:rPr>
              <w:t>食料品等</w:t>
            </w:r>
          </w:p>
        </w:tc>
        <w:tc>
          <w:tcPr>
            <w:tcW w:w="5617" w:type="dxa"/>
            <w:vAlign w:val="center"/>
          </w:tcPr>
          <w:p>
            <w:pPr>
              <w:pStyle w:val="0"/>
              <w:rPr>
                <w:rFonts w:hint="default"/>
                <w:sz w:val="24"/>
              </w:rPr>
            </w:pPr>
            <w:r>
              <w:rPr>
                <w:rFonts w:hint="eastAsia"/>
                <w:sz w:val="24"/>
              </w:rPr>
              <w:t>弁当、飲料、加工食品、パン、菓子類等</w:t>
            </w:r>
          </w:p>
        </w:tc>
      </w:tr>
      <w:tr>
        <w:trPr>
          <w:trHeight w:val="391" w:hRule="atLeast"/>
        </w:trPr>
        <w:tc>
          <w:tcPr>
            <w:tcW w:w="506" w:type="dxa"/>
            <w:vMerge w:val="continue"/>
            <w:textDirection w:val="tbRlV"/>
            <w:vAlign w:val="top"/>
          </w:tcPr>
          <w:p>
            <w:pPr>
              <w:pStyle w:val="0"/>
              <w:ind w:left="-24" w:right="113"/>
              <w:jc w:val="center"/>
              <w:rPr>
                <w:rFonts w:hint="default"/>
                <w:sz w:val="24"/>
              </w:rPr>
            </w:pPr>
          </w:p>
        </w:tc>
        <w:tc>
          <w:tcPr>
            <w:tcW w:w="2277" w:type="dxa"/>
            <w:vAlign w:val="center"/>
          </w:tcPr>
          <w:p>
            <w:pPr>
              <w:pStyle w:val="0"/>
              <w:rPr>
                <w:rFonts w:hint="default"/>
                <w:sz w:val="24"/>
              </w:rPr>
            </w:pPr>
            <w:r>
              <w:rPr>
                <w:rFonts w:hint="eastAsia"/>
                <w:sz w:val="24"/>
              </w:rPr>
              <w:t>小物雑貨</w:t>
            </w:r>
          </w:p>
        </w:tc>
        <w:tc>
          <w:tcPr>
            <w:tcW w:w="5617" w:type="dxa"/>
            <w:vAlign w:val="center"/>
          </w:tcPr>
          <w:p>
            <w:pPr>
              <w:pStyle w:val="0"/>
              <w:rPr>
                <w:rFonts w:hint="default"/>
                <w:sz w:val="24"/>
              </w:rPr>
            </w:pPr>
            <w:r>
              <w:rPr>
                <w:rFonts w:hint="eastAsia"/>
                <w:sz w:val="24"/>
              </w:rPr>
              <w:t>花苗、記念品、手芸品、洗浄用具等</w:t>
            </w:r>
          </w:p>
        </w:tc>
      </w:tr>
      <w:tr>
        <w:trPr>
          <w:trHeight w:val="391" w:hRule="atLeast"/>
        </w:trPr>
        <w:tc>
          <w:tcPr>
            <w:tcW w:w="506" w:type="dxa"/>
            <w:vMerge w:val="continue"/>
            <w:textDirection w:val="tbRlV"/>
            <w:vAlign w:val="top"/>
          </w:tcPr>
          <w:p>
            <w:pPr>
              <w:pStyle w:val="0"/>
              <w:ind w:left="-24" w:right="113"/>
              <w:jc w:val="center"/>
              <w:rPr>
                <w:rFonts w:hint="default"/>
                <w:sz w:val="24"/>
              </w:rPr>
            </w:pPr>
          </w:p>
        </w:tc>
        <w:tc>
          <w:tcPr>
            <w:tcW w:w="2277" w:type="dxa"/>
            <w:vAlign w:val="center"/>
          </w:tcPr>
          <w:p>
            <w:pPr>
              <w:pStyle w:val="0"/>
              <w:rPr>
                <w:rFonts w:hint="default"/>
                <w:sz w:val="24"/>
              </w:rPr>
            </w:pPr>
            <w:r>
              <w:rPr>
                <w:rFonts w:hint="eastAsia"/>
                <w:sz w:val="24"/>
              </w:rPr>
              <w:t>その他の物品</w:t>
            </w:r>
          </w:p>
        </w:tc>
        <w:tc>
          <w:tcPr>
            <w:tcW w:w="5617" w:type="dxa"/>
            <w:vAlign w:val="center"/>
          </w:tcPr>
          <w:p>
            <w:pPr>
              <w:pStyle w:val="0"/>
              <w:rPr>
                <w:rFonts w:hint="default"/>
                <w:sz w:val="24"/>
              </w:rPr>
            </w:pPr>
            <w:r>
              <w:rPr>
                <w:rFonts w:hint="eastAsia"/>
                <w:sz w:val="24"/>
              </w:rPr>
              <w:t>トイレットペーパー、プラスチック製品、寝具等</w:t>
            </w:r>
          </w:p>
        </w:tc>
      </w:tr>
      <w:tr>
        <w:trPr>
          <w:trHeight w:val="391" w:hRule="atLeast"/>
        </w:trPr>
        <w:tc>
          <w:tcPr>
            <w:tcW w:w="506" w:type="dxa"/>
            <w:vMerge w:val="restart"/>
            <w:textDirection w:val="tbRlV"/>
            <w:vAlign w:val="center"/>
          </w:tcPr>
          <w:p>
            <w:pPr>
              <w:pStyle w:val="0"/>
              <w:ind w:left="113" w:right="113"/>
              <w:jc w:val="center"/>
              <w:rPr>
                <w:rFonts w:hint="default"/>
                <w:sz w:val="24"/>
              </w:rPr>
            </w:pPr>
            <w:r>
              <w:rPr>
                <w:rFonts w:hint="eastAsia"/>
                <w:sz w:val="24"/>
              </w:rPr>
              <w:t>役務</w:t>
            </w:r>
          </w:p>
        </w:tc>
        <w:tc>
          <w:tcPr>
            <w:tcW w:w="2277" w:type="dxa"/>
            <w:vAlign w:val="center"/>
          </w:tcPr>
          <w:p>
            <w:pPr>
              <w:pStyle w:val="0"/>
              <w:rPr>
                <w:rFonts w:hint="default"/>
                <w:sz w:val="24"/>
              </w:rPr>
            </w:pPr>
            <w:r>
              <w:rPr>
                <w:rFonts w:hint="eastAsia"/>
                <w:sz w:val="24"/>
              </w:rPr>
              <w:t>印刷</w:t>
            </w:r>
          </w:p>
        </w:tc>
        <w:tc>
          <w:tcPr>
            <w:tcW w:w="5617" w:type="dxa"/>
            <w:vAlign w:val="center"/>
          </w:tcPr>
          <w:p>
            <w:pPr>
              <w:pStyle w:val="0"/>
              <w:rPr>
                <w:rFonts w:hint="default"/>
                <w:sz w:val="24"/>
              </w:rPr>
            </w:pPr>
            <w:r>
              <w:rPr>
                <w:rFonts w:hint="eastAsia"/>
                <w:sz w:val="24"/>
              </w:rPr>
              <w:t>名入り封筒、チラシ、製本等</w:t>
            </w:r>
          </w:p>
        </w:tc>
      </w:tr>
      <w:tr>
        <w:trPr>
          <w:trHeight w:val="391" w:hRule="atLeast"/>
        </w:trPr>
        <w:tc>
          <w:tcPr>
            <w:tcW w:w="506" w:type="dxa"/>
            <w:vMerge w:val="continue"/>
            <w:vAlign w:val="top"/>
          </w:tcPr>
          <w:p>
            <w:pPr>
              <w:pStyle w:val="0"/>
              <w:ind w:left="-24"/>
              <w:rPr>
                <w:rFonts w:hint="default"/>
                <w:sz w:val="24"/>
              </w:rPr>
            </w:pPr>
          </w:p>
        </w:tc>
        <w:tc>
          <w:tcPr>
            <w:tcW w:w="2277" w:type="dxa"/>
            <w:vAlign w:val="center"/>
          </w:tcPr>
          <w:p>
            <w:pPr>
              <w:pStyle w:val="0"/>
              <w:rPr>
                <w:rFonts w:hint="default"/>
                <w:sz w:val="24"/>
              </w:rPr>
            </w:pPr>
            <w:r>
              <w:rPr>
                <w:rFonts w:hint="eastAsia"/>
                <w:sz w:val="24"/>
              </w:rPr>
              <w:t>クリーニング</w:t>
            </w:r>
          </w:p>
        </w:tc>
        <w:tc>
          <w:tcPr>
            <w:tcW w:w="5617" w:type="dxa"/>
            <w:vAlign w:val="center"/>
          </w:tcPr>
          <w:p>
            <w:pPr>
              <w:pStyle w:val="0"/>
              <w:rPr>
                <w:rFonts w:hint="default"/>
                <w:sz w:val="24"/>
              </w:rPr>
            </w:pPr>
            <w:r>
              <w:rPr>
                <w:rFonts w:hint="eastAsia"/>
                <w:sz w:val="24"/>
              </w:rPr>
              <w:t>クリーニング、リネンサプライ等</w:t>
            </w:r>
          </w:p>
        </w:tc>
      </w:tr>
      <w:tr>
        <w:trPr>
          <w:trHeight w:val="391" w:hRule="atLeast"/>
        </w:trPr>
        <w:tc>
          <w:tcPr>
            <w:tcW w:w="506" w:type="dxa"/>
            <w:vMerge w:val="continue"/>
            <w:vAlign w:val="top"/>
          </w:tcPr>
          <w:p>
            <w:pPr>
              <w:pStyle w:val="0"/>
              <w:ind w:left="-24"/>
              <w:rPr>
                <w:rFonts w:hint="default"/>
                <w:sz w:val="24"/>
              </w:rPr>
            </w:pPr>
          </w:p>
        </w:tc>
        <w:tc>
          <w:tcPr>
            <w:tcW w:w="2277" w:type="dxa"/>
            <w:vAlign w:val="center"/>
          </w:tcPr>
          <w:p>
            <w:pPr>
              <w:pStyle w:val="0"/>
              <w:rPr>
                <w:rFonts w:hint="default"/>
                <w:sz w:val="24"/>
              </w:rPr>
            </w:pPr>
            <w:r>
              <w:rPr>
                <w:rFonts w:hint="eastAsia"/>
                <w:sz w:val="24"/>
              </w:rPr>
              <w:t>清掃・施設管理</w:t>
            </w:r>
          </w:p>
        </w:tc>
        <w:tc>
          <w:tcPr>
            <w:tcW w:w="5617" w:type="dxa"/>
            <w:vAlign w:val="center"/>
          </w:tcPr>
          <w:p>
            <w:pPr>
              <w:pStyle w:val="0"/>
              <w:rPr>
                <w:rFonts w:hint="default"/>
                <w:sz w:val="24"/>
              </w:rPr>
            </w:pPr>
            <w:r>
              <w:rPr>
                <w:rFonts w:hint="eastAsia"/>
                <w:sz w:val="24"/>
              </w:rPr>
              <w:t>清掃、除草作業、施設管理等</w:t>
            </w:r>
          </w:p>
        </w:tc>
      </w:tr>
      <w:tr>
        <w:trPr>
          <w:trHeight w:val="391" w:hRule="atLeast"/>
        </w:trPr>
        <w:tc>
          <w:tcPr>
            <w:tcW w:w="506" w:type="dxa"/>
            <w:vMerge w:val="continue"/>
            <w:vAlign w:val="top"/>
          </w:tcPr>
          <w:p>
            <w:pPr>
              <w:pStyle w:val="0"/>
              <w:ind w:left="-24"/>
              <w:rPr>
                <w:rFonts w:hint="default"/>
                <w:sz w:val="24"/>
              </w:rPr>
            </w:pPr>
          </w:p>
        </w:tc>
        <w:tc>
          <w:tcPr>
            <w:tcW w:w="2277" w:type="dxa"/>
            <w:vAlign w:val="center"/>
          </w:tcPr>
          <w:p>
            <w:pPr>
              <w:pStyle w:val="0"/>
              <w:rPr>
                <w:rFonts w:hint="default"/>
                <w:sz w:val="24"/>
              </w:rPr>
            </w:pPr>
            <w:r>
              <w:rPr>
                <w:rFonts w:hint="eastAsia"/>
                <w:sz w:val="24"/>
              </w:rPr>
              <w:t>情報処理</w:t>
            </w:r>
          </w:p>
        </w:tc>
        <w:tc>
          <w:tcPr>
            <w:tcW w:w="5617" w:type="dxa"/>
            <w:vAlign w:val="center"/>
          </w:tcPr>
          <w:p>
            <w:pPr>
              <w:pStyle w:val="0"/>
              <w:rPr>
                <w:rFonts w:hint="default"/>
                <w:sz w:val="24"/>
              </w:rPr>
            </w:pPr>
            <w:r>
              <w:rPr>
                <w:rFonts w:hint="eastAsia"/>
                <w:sz w:val="24"/>
              </w:rPr>
              <w:t>データ入力、ホームページ作成等</w:t>
            </w:r>
          </w:p>
        </w:tc>
      </w:tr>
      <w:tr>
        <w:trPr>
          <w:trHeight w:val="391" w:hRule="atLeast"/>
        </w:trPr>
        <w:tc>
          <w:tcPr>
            <w:tcW w:w="506" w:type="dxa"/>
            <w:vMerge w:val="continue"/>
            <w:vAlign w:val="top"/>
          </w:tcPr>
          <w:p>
            <w:pPr>
              <w:pStyle w:val="0"/>
              <w:ind w:left="-24"/>
              <w:rPr>
                <w:rFonts w:hint="default"/>
                <w:sz w:val="24"/>
              </w:rPr>
            </w:pPr>
          </w:p>
        </w:tc>
        <w:tc>
          <w:tcPr>
            <w:tcW w:w="2277" w:type="dxa"/>
            <w:vAlign w:val="center"/>
          </w:tcPr>
          <w:p>
            <w:pPr>
              <w:pStyle w:val="0"/>
              <w:rPr>
                <w:rFonts w:hint="default"/>
                <w:sz w:val="24"/>
              </w:rPr>
            </w:pPr>
            <w:r>
              <w:rPr>
                <w:rFonts w:hint="eastAsia"/>
                <w:sz w:val="24"/>
              </w:rPr>
              <w:t>その他の役務</w:t>
            </w:r>
          </w:p>
        </w:tc>
        <w:tc>
          <w:tcPr>
            <w:tcW w:w="5617" w:type="dxa"/>
            <w:vAlign w:val="center"/>
          </w:tcPr>
          <w:p>
            <w:pPr>
              <w:pStyle w:val="0"/>
              <w:rPr>
                <w:rFonts w:hint="default"/>
                <w:sz w:val="24"/>
              </w:rPr>
            </w:pPr>
            <w:r>
              <w:rPr>
                <w:rFonts w:hint="eastAsia"/>
                <w:sz w:val="24"/>
              </w:rPr>
              <w:t>袋詰め、資源回収、点字処理等</w:t>
            </w:r>
          </w:p>
        </w:tc>
      </w:tr>
    </w:tbl>
    <w:p>
      <w:pPr>
        <w:pStyle w:val="0"/>
        <w:ind w:left="240" w:hanging="240" w:hangingChars="100"/>
        <w:rPr>
          <w:rFonts w:hint="default"/>
          <w:sz w:val="24"/>
        </w:rPr>
      </w:pPr>
      <w:r>
        <w:rPr>
          <w:rFonts w:hint="eastAsia"/>
          <w:sz w:val="24"/>
        </w:rPr>
        <w:t>※上記は、調達を推進する物品等の一例であり、本町において調達可能な物品等であれば、上記以外も対象とする。</w:t>
      </w:r>
    </w:p>
    <w:p>
      <w:pPr>
        <w:pStyle w:val="0"/>
        <w:rPr>
          <w:rFonts w:hint="default"/>
          <w:sz w:val="24"/>
        </w:rPr>
      </w:pPr>
    </w:p>
    <w:p>
      <w:pPr>
        <w:pStyle w:val="0"/>
        <w:rPr>
          <w:rFonts w:hint="default"/>
          <w:b w:val="1"/>
          <w:sz w:val="24"/>
        </w:rPr>
      </w:pPr>
      <w:r>
        <w:rPr>
          <w:rFonts w:hint="eastAsia"/>
          <w:b w:val="1"/>
          <w:sz w:val="24"/>
        </w:rPr>
        <w:t>５　調達目標</w:t>
      </w:r>
    </w:p>
    <w:p>
      <w:pPr>
        <w:pStyle w:val="0"/>
        <w:rPr>
          <w:rFonts w:hint="default"/>
          <w:sz w:val="24"/>
        </w:rPr>
      </w:pPr>
      <w:r>
        <w:rPr>
          <w:rFonts w:hint="eastAsia"/>
          <w:sz w:val="24"/>
        </w:rPr>
        <w:t>　調達の目標は、前年度の調達実績額を上回ることを目標とする。</w:t>
      </w:r>
    </w:p>
    <w:p>
      <w:pPr>
        <w:pStyle w:val="0"/>
        <w:rPr>
          <w:rFonts w:hint="default"/>
          <w:sz w:val="24"/>
        </w:rPr>
      </w:pPr>
    </w:p>
    <w:p>
      <w:pPr>
        <w:pStyle w:val="0"/>
        <w:rPr>
          <w:rFonts w:hint="default"/>
          <w:sz w:val="24"/>
        </w:rPr>
      </w:pPr>
    </w:p>
    <w:p>
      <w:pPr>
        <w:pStyle w:val="0"/>
        <w:rPr>
          <w:rFonts w:hint="default"/>
          <w:b w:val="1"/>
          <w:sz w:val="24"/>
        </w:rPr>
      </w:pPr>
      <w:r>
        <w:rPr>
          <w:rFonts w:hint="eastAsia"/>
          <w:b w:val="1"/>
          <w:sz w:val="24"/>
        </w:rPr>
        <w:t>６　調達の推進方法</w:t>
      </w:r>
    </w:p>
    <w:p>
      <w:pPr>
        <w:pStyle w:val="0"/>
        <w:ind w:left="480" w:hanging="480" w:hangingChars="200"/>
        <w:rPr>
          <w:rFonts w:hint="default"/>
          <w:sz w:val="24"/>
        </w:rPr>
      </w:pPr>
      <w:r>
        <w:rPr>
          <w:rFonts w:hint="eastAsia"/>
          <w:sz w:val="24"/>
        </w:rPr>
        <w:t>　</w:t>
      </w:r>
      <w:r>
        <w:rPr>
          <w:rFonts w:hint="eastAsia"/>
          <w:sz w:val="24"/>
        </w:rPr>
        <w:t>(</w:t>
      </w:r>
      <w:r>
        <w:rPr>
          <w:rFonts w:hint="eastAsia"/>
          <w:sz w:val="24"/>
        </w:rPr>
        <w:t>１</w:t>
      </w:r>
      <w:r>
        <w:rPr>
          <w:rFonts w:hint="eastAsia"/>
          <w:sz w:val="24"/>
        </w:rPr>
        <w:t>)</w:t>
      </w:r>
      <w:r>
        <w:rPr>
          <w:rFonts w:hint="eastAsia"/>
          <w:sz w:val="24"/>
        </w:rPr>
        <w:t>　福祉保健課は、施設等から提供される調達可能な物品等の内容について、各課等に情報提供を行う。</w:t>
      </w:r>
    </w:p>
    <w:p>
      <w:pPr>
        <w:pStyle w:val="0"/>
        <w:ind w:left="480" w:hanging="480" w:hangingChars="200"/>
        <w:rPr>
          <w:rFonts w:hint="default"/>
          <w:sz w:val="24"/>
        </w:rPr>
      </w:pPr>
      <w:r>
        <w:rPr>
          <w:rFonts w:hint="eastAsia"/>
          <w:sz w:val="24"/>
        </w:rPr>
        <w:t>　</w:t>
      </w:r>
      <w:r>
        <w:rPr>
          <w:rFonts w:hint="eastAsia"/>
          <w:sz w:val="24"/>
        </w:rPr>
        <w:t>(</w:t>
      </w:r>
      <w:r>
        <w:rPr>
          <w:rFonts w:hint="eastAsia"/>
          <w:sz w:val="24"/>
        </w:rPr>
        <w:t>２</w:t>
      </w:r>
      <w:r>
        <w:rPr>
          <w:rFonts w:hint="eastAsia"/>
          <w:sz w:val="24"/>
        </w:rPr>
        <w:t>)</w:t>
      </w:r>
      <w:r>
        <w:rPr>
          <w:rFonts w:hint="eastAsia"/>
          <w:sz w:val="24"/>
        </w:rPr>
        <w:t>　各課等は、提供された情報をもとに施設等からの物品等の調達に努める。</w:t>
      </w:r>
    </w:p>
    <w:p>
      <w:pPr>
        <w:pStyle w:val="0"/>
        <w:ind w:left="480" w:hanging="480" w:hangingChars="200"/>
        <w:rPr>
          <w:rFonts w:hint="default"/>
          <w:sz w:val="24"/>
        </w:rPr>
      </w:pPr>
      <w:r>
        <w:rPr>
          <w:rFonts w:hint="eastAsia"/>
          <w:sz w:val="24"/>
        </w:rPr>
        <w:t>　</w:t>
      </w:r>
      <w:r>
        <w:rPr>
          <w:rFonts w:hint="eastAsia"/>
          <w:sz w:val="24"/>
        </w:rPr>
        <w:t>(</w:t>
      </w:r>
      <w:r>
        <w:rPr>
          <w:rFonts w:hint="eastAsia"/>
          <w:sz w:val="24"/>
        </w:rPr>
        <w:t>３</w:t>
      </w:r>
      <w:r>
        <w:rPr>
          <w:rFonts w:hint="eastAsia"/>
          <w:sz w:val="24"/>
        </w:rPr>
        <w:t>)</w:t>
      </w:r>
      <w:r>
        <w:rPr>
          <w:rFonts w:hint="eastAsia"/>
          <w:sz w:val="24"/>
        </w:rPr>
        <w:t>　施設等からの物品等の調達に当たっては、施設等の供給能力に合わせ、納期、納入条件等について適切な配慮を行う。</w:t>
      </w:r>
    </w:p>
    <w:p>
      <w:pPr>
        <w:pStyle w:val="0"/>
        <w:rPr>
          <w:rFonts w:hint="default"/>
          <w:sz w:val="24"/>
        </w:rPr>
      </w:pPr>
    </w:p>
    <w:p>
      <w:pPr>
        <w:pStyle w:val="0"/>
        <w:rPr>
          <w:rFonts w:hint="default"/>
          <w:b w:val="1"/>
          <w:sz w:val="24"/>
        </w:rPr>
      </w:pPr>
      <w:r>
        <w:rPr>
          <w:rFonts w:hint="eastAsia"/>
          <w:b w:val="1"/>
          <w:sz w:val="24"/>
        </w:rPr>
        <w:t>７　調達方針及び調達実績の公表</w:t>
      </w:r>
    </w:p>
    <w:p>
      <w:pPr>
        <w:pStyle w:val="0"/>
        <w:rPr>
          <w:rFonts w:hint="default"/>
          <w:sz w:val="24"/>
        </w:rPr>
      </w:pPr>
      <w:r>
        <w:rPr>
          <w:rFonts w:hint="eastAsia"/>
          <w:sz w:val="24"/>
        </w:rPr>
        <w:t>　</w:t>
      </w:r>
      <w:r>
        <w:rPr>
          <w:rFonts w:hint="eastAsia"/>
          <w:sz w:val="24"/>
        </w:rPr>
        <w:t>(</w:t>
      </w:r>
      <w:r>
        <w:rPr>
          <w:rFonts w:hint="eastAsia"/>
          <w:sz w:val="24"/>
        </w:rPr>
        <w:t>１</w:t>
      </w:r>
      <w:r>
        <w:rPr>
          <w:rFonts w:hint="eastAsia"/>
          <w:sz w:val="24"/>
        </w:rPr>
        <w:t>)</w:t>
      </w:r>
      <w:r>
        <w:rPr>
          <w:rFonts w:hint="eastAsia"/>
          <w:sz w:val="24"/>
        </w:rPr>
        <w:t>　本町における調達方針については、町ホームページ等により公表する。</w:t>
      </w:r>
    </w:p>
    <w:p>
      <w:pPr>
        <w:pStyle w:val="0"/>
        <w:ind w:left="480" w:hanging="480" w:hangingChars="200"/>
        <w:rPr>
          <w:rFonts w:hint="default"/>
          <w:sz w:val="24"/>
        </w:rPr>
      </w:pPr>
      <w:r>
        <w:rPr>
          <w:rFonts w:hint="eastAsia"/>
          <w:sz w:val="24"/>
        </w:rPr>
        <w:t>　</w:t>
      </w:r>
      <w:r>
        <w:rPr>
          <w:rFonts w:hint="eastAsia"/>
          <w:sz w:val="24"/>
        </w:rPr>
        <w:t>(</w:t>
      </w:r>
      <w:r>
        <w:rPr>
          <w:rFonts w:hint="eastAsia"/>
          <w:sz w:val="24"/>
        </w:rPr>
        <w:t>２</w:t>
      </w:r>
      <w:r>
        <w:rPr>
          <w:rFonts w:hint="eastAsia"/>
          <w:sz w:val="24"/>
        </w:rPr>
        <w:t>)</w:t>
      </w:r>
      <w:r>
        <w:rPr>
          <w:rFonts w:hint="eastAsia"/>
          <w:sz w:val="24"/>
        </w:rPr>
        <w:t>　調達実績については、会計年度の終了後、遅滞なく調達の実績の概要を取りまとめ、町ホームページ等により公表する。</w:t>
      </w:r>
    </w:p>
    <w:p>
      <w:pPr>
        <w:pStyle w:val="0"/>
        <w:rPr>
          <w:rFonts w:hint="default"/>
          <w:sz w:val="24"/>
        </w:rPr>
      </w:pPr>
    </w:p>
    <w:p>
      <w:pPr>
        <w:pStyle w:val="0"/>
        <w:rPr>
          <w:rFonts w:hint="default"/>
          <w:sz w:val="24"/>
        </w:rPr>
      </w:pPr>
      <w:r>
        <w:rPr>
          <w:rFonts w:hint="eastAsia"/>
          <w:sz w:val="24"/>
        </w:rPr>
        <w:t>別表</w:t>
      </w:r>
    </w:p>
    <w:p>
      <w:pPr>
        <w:pStyle w:val="0"/>
        <w:rPr>
          <w:rFonts w:hint="default"/>
          <w:sz w:val="24"/>
        </w:rPr>
      </w:pPr>
      <w:r>
        <w:rPr>
          <w:rFonts w:hint="eastAsia"/>
          <w:sz w:val="24"/>
        </w:rPr>
        <w:t>優先調達の対象となる施設等</w:t>
      </w:r>
    </w:p>
    <w:tbl>
      <w:tblPr>
        <w:tblStyle w:val="11"/>
        <w:tblW w:w="8415"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61"/>
        <w:gridCol w:w="6454"/>
      </w:tblGrid>
      <w:tr>
        <w:trPr>
          <w:trHeight w:val="150" w:hRule="atLeast"/>
        </w:trPr>
        <w:tc>
          <w:tcPr>
            <w:tcW w:w="1961" w:type="dxa"/>
            <w:vMerge w:val="restart"/>
            <w:vAlign w:val="top"/>
          </w:tcPr>
          <w:p>
            <w:pPr>
              <w:pStyle w:val="0"/>
              <w:rPr>
                <w:rFonts w:hint="default"/>
                <w:sz w:val="24"/>
              </w:rPr>
            </w:pPr>
            <w:r>
              <w:rPr>
                <w:rFonts w:hint="eastAsia"/>
                <w:sz w:val="24"/>
              </w:rPr>
              <w:t>障害者の日常生活及び社会生活を総合的に支援するための法律</w:t>
            </w:r>
            <w:r>
              <w:rPr>
                <w:rFonts w:hint="eastAsia"/>
                <w:sz w:val="24"/>
              </w:rPr>
              <w:t>(</w:t>
            </w:r>
            <w:r>
              <w:rPr>
                <w:rFonts w:hint="eastAsia"/>
                <w:sz w:val="24"/>
              </w:rPr>
              <w:t>平成１７年法律第１２３号</w:t>
            </w:r>
            <w:r>
              <w:rPr>
                <w:rFonts w:hint="eastAsia"/>
                <w:sz w:val="24"/>
              </w:rPr>
              <w:t>)</w:t>
            </w:r>
            <w:r>
              <w:rPr>
                <w:rFonts w:hint="eastAsia"/>
                <w:sz w:val="24"/>
              </w:rPr>
              <w:t>に基づく施設等</w:t>
            </w:r>
          </w:p>
        </w:tc>
        <w:tc>
          <w:tcPr>
            <w:tcW w:w="6454" w:type="dxa"/>
            <w:vAlign w:val="top"/>
          </w:tcPr>
          <w:p>
            <w:pPr>
              <w:pStyle w:val="0"/>
              <w:rPr>
                <w:rFonts w:hint="default"/>
                <w:sz w:val="24"/>
              </w:rPr>
            </w:pPr>
            <w:r>
              <w:rPr>
                <w:rFonts w:hint="eastAsia"/>
                <w:sz w:val="24"/>
              </w:rPr>
              <w:t>就労移行支援事業所</w:t>
            </w:r>
          </w:p>
        </w:tc>
      </w:tr>
      <w:tr>
        <w:trPr>
          <w:trHeight w:val="195" w:hRule="atLeast"/>
        </w:trPr>
        <w:tc>
          <w:tcPr>
            <w:tcW w:w="1961" w:type="dxa"/>
            <w:vMerge w:val="continue"/>
            <w:vAlign w:val="top"/>
          </w:tcPr>
          <w:p>
            <w:pPr>
              <w:pStyle w:val="0"/>
              <w:ind w:left="-24"/>
              <w:rPr>
                <w:rFonts w:hint="default"/>
                <w:sz w:val="24"/>
              </w:rPr>
            </w:pPr>
          </w:p>
        </w:tc>
        <w:tc>
          <w:tcPr>
            <w:tcW w:w="6454" w:type="dxa"/>
            <w:vAlign w:val="top"/>
          </w:tcPr>
          <w:p>
            <w:pPr>
              <w:pStyle w:val="0"/>
              <w:rPr>
                <w:rFonts w:hint="default"/>
                <w:sz w:val="24"/>
              </w:rPr>
            </w:pPr>
            <w:r>
              <w:rPr>
                <w:rFonts w:hint="eastAsia"/>
                <w:sz w:val="24"/>
              </w:rPr>
              <w:t>就労継続支援事業所</w:t>
            </w:r>
            <w:r>
              <w:rPr>
                <w:rFonts w:hint="eastAsia"/>
                <w:sz w:val="24"/>
              </w:rPr>
              <w:t>(</w:t>
            </w:r>
            <w:r>
              <w:rPr>
                <w:rFonts w:hint="eastAsia"/>
                <w:sz w:val="24"/>
              </w:rPr>
              <w:t>Ａ型・Ｂ型</w:t>
            </w:r>
            <w:r>
              <w:rPr>
                <w:rFonts w:hint="eastAsia"/>
                <w:sz w:val="24"/>
              </w:rPr>
              <w:t>)</w:t>
            </w:r>
          </w:p>
        </w:tc>
      </w:tr>
      <w:tr>
        <w:trPr>
          <w:trHeight w:val="150" w:hRule="atLeast"/>
        </w:trPr>
        <w:tc>
          <w:tcPr>
            <w:tcW w:w="1961" w:type="dxa"/>
            <w:vMerge w:val="continue"/>
            <w:vAlign w:val="top"/>
          </w:tcPr>
          <w:p>
            <w:pPr>
              <w:pStyle w:val="0"/>
              <w:ind w:left="-24"/>
              <w:rPr>
                <w:rFonts w:hint="default"/>
                <w:sz w:val="24"/>
              </w:rPr>
            </w:pPr>
          </w:p>
        </w:tc>
        <w:tc>
          <w:tcPr>
            <w:tcW w:w="6454" w:type="dxa"/>
            <w:vAlign w:val="top"/>
          </w:tcPr>
          <w:p>
            <w:pPr>
              <w:pStyle w:val="0"/>
              <w:rPr>
                <w:rFonts w:hint="default"/>
                <w:sz w:val="24"/>
              </w:rPr>
            </w:pPr>
            <w:r>
              <w:rPr>
                <w:rFonts w:hint="eastAsia"/>
                <w:sz w:val="24"/>
              </w:rPr>
              <w:t>生活介護事業所</w:t>
            </w:r>
          </w:p>
        </w:tc>
      </w:tr>
      <w:tr>
        <w:trPr>
          <w:trHeight w:val="195" w:hRule="atLeast"/>
        </w:trPr>
        <w:tc>
          <w:tcPr>
            <w:tcW w:w="1961" w:type="dxa"/>
            <w:vMerge w:val="continue"/>
            <w:vAlign w:val="top"/>
          </w:tcPr>
          <w:p>
            <w:pPr>
              <w:pStyle w:val="0"/>
              <w:ind w:left="-24"/>
              <w:rPr>
                <w:rFonts w:hint="default"/>
                <w:sz w:val="24"/>
              </w:rPr>
            </w:pPr>
          </w:p>
        </w:tc>
        <w:tc>
          <w:tcPr>
            <w:tcW w:w="6454" w:type="dxa"/>
            <w:vAlign w:val="top"/>
          </w:tcPr>
          <w:p>
            <w:pPr>
              <w:pStyle w:val="0"/>
              <w:rPr>
                <w:rFonts w:hint="default"/>
                <w:sz w:val="24"/>
              </w:rPr>
            </w:pPr>
            <w:r>
              <w:rPr>
                <w:rFonts w:hint="eastAsia"/>
                <w:sz w:val="24"/>
              </w:rPr>
              <w:t>障害者支援施設</w:t>
            </w:r>
            <w:r>
              <w:rPr>
                <w:rFonts w:hint="eastAsia"/>
                <w:sz w:val="24"/>
              </w:rPr>
              <w:t>(</w:t>
            </w:r>
            <w:r>
              <w:rPr>
                <w:rFonts w:hint="eastAsia"/>
                <w:sz w:val="24"/>
              </w:rPr>
              <w:t>就労移行、就労継続支援、生活介護を行うものに限る。</w:t>
            </w:r>
            <w:r>
              <w:rPr>
                <w:rFonts w:hint="eastAsia"/>
                <w:sz w:val="24"/>
              </w:rPr>
              <w:t>)</w:t>
            </w:r>
          </w:p>
        </w:tc>
      </w:tr>
      <w:tr>
        <w:trPr>
          <w:trHeight w:val="195" w:hRule="atLeast"/>
        </w:trPr>
        <w:tc>
          <w:tcPr>
            <w:tcW w:w="1961" w:type="dxa"/>
            <w:vMerge w:val="continue"/>
            <w:vAlign w:val="top"/>
          </w:tcPr>
          <w:p>
            <w:pPr>
              <w:pStyle w:val="0"/>
              <w:ind w:left="-24"/>
              <w:rPr>
                <w:rFonts w:hint="default"/>
                <w:sz w:val="24"/>
              </w:rPr>
            </w:pPr>
          </w:p>
        </w:tc>
        <w:tc>
          <w:tcPr>
            <w:tcW w:w="6454" w:type="dxa"/>
            <w:vAlign w:val="top"/>
          </w:tcPr>
          <w:p>
            <w:pPr>
              <w:pStyle w:val="0"/>
              <w:rPr>
                <w:rFonts w:hint="default"/>
                <w:sz w:val="24"/>
              </w:rPr>
            </w:pPr>
            <w:r>
              <w:rPr>
                <w:rFonts w:hint="eastAsia"/>
                <w:sz w:val="24"/>
              </w:rPr>
              <w:t>地域活動支援センター</w:t>
            </w:r>
          </w:p>
        </w:tc>
      </w:tr>
      <w:tr>
        <w:trPr>
          <w:trHeight w:val="255" w:hRule="atLeast"/>
        </w:trPr>
        <w:tc>
          <w:tcPr>
            <w:tcW w:w="1961" w:type="dxa"/>
            <w:vMerge w:val="continue"/>
            <w:vAlign w:val="top"/>
          </w:tcPr>
          <w:p>
            <w:pPr>
              <w:pStyle w:val="0"/>
              <w:ind w:left="-24"/>
              <w:rPr>
                <w:rFonts w:hint="default"/>
                <w:sz w:val="24"/>
              </w:rPr>
            </w:pPr>
          </w:p>
        </w:tc>
        <w:tc>
          <w:tcPr>
            <w:tcW w:w="6454" w:type="dxa"/>
            <w:vAlign w:val="top"/>
          </w:tcPr>
          <w:p>
            <w:pPr>
              <w:pStyle w:val="0"/>
              <w:rPr>
                <w:rFonts w:hint="default"/>
                <w:sz w:val="24"/>
              </w:rPr>
            </w:pPr>
            <w:r>
              <w:rPr>
                <w:rFonts w:hint="eastAsia"/>
                <w:sz w:val="24"/>
              </w:rPr>
              <w:t>小規模作業所</w:t>
            </w:r>
          </w:p>
        </w:tc>
      </w:tr>
      <w:tr>
        <w:trPr>
          <w:trHeight w:val="311" w:hRule="atLeast"/>
        </w:trPr>
        <w:tc>
          <w:tcPr>
            <w:tcW w:w="1961" w:type="dxa"/>
            <w:vMerge w:val="restart"/>
            <w:vAlign w:val="top"/>
          </w:tcPr>
          <w:p>
            <w:pPr>
              <w:pStyle w:val="0"/>
              <w:rPr>
                <w:rFonts w:hint="default"/>
                <w:sz w:val="24"/>
              </w:rPr>
            </w:pPr>
            <w:r>
              <w:rPr>
                <w:rFonts w:hint="eastAsia"/>
                <w:sz w:val="24"/>
              </w:rPr>
              <w:t>障害者の雇用の促進等に関する法律</w:t>
            </w:r>
            <w:r>
              <w:rPr>
                <w:rFonts w:hint="eastAsia"/>
                <w:sz w:val="24"/>
              </w:rPr>
              <w:t>(</w:t>
            </w:r>
            <w:r>
              <w:rPr>
                <w:rFonts w:hint="eastAsia"/>
                <w:sz w:val="24"/>
              </w:rPr>
              <w:t>昭和３５年法律第１２３号。以下「障害者雇用促進法」という。</w:t>
            </w:r>
            <w:r>
              <w:rPr>
                <w:rFonts w:hint="eastAsia"/>
                <w:sz w:val="24"/>
              </w:rPr>
              <w:t>)</w:t>
            </w:r>
            <w:r>
              <w:rPr>
                <w:rFonts w:hint="eastAsia"/>
                <w:sz w:val="24"/>
              </w:rPr>
              <w:t>に定める障害者を多数雇用している事業所</w:t>
            </w:r>
          </w:p>
        </w:tc>
        <w:tc>
          <w:tcPr>
            <w:tcW w:w="6454" w:type="dxa"/>
            <w:vAlign w:val="top"/>
          </w:tcPr>
          <w:p>
            <w:pPr>
              <w:pStyle w:val="0"/>
              <w:rPr>
                <w:rFonts w:hint="default"/>
                <w:sz w:val="24"/>
              </w:rPr>
            </w:pPr>
            <w:r>
              <w:rPr>
                <w:rFonts w:hint="eastAsia"/>
                <w:sz w:val="24"/>
              </w:rPr>
              <w:t>障害者雇用促進法に基づく子会社の事業所</w:t>
            </w:r>
            <w:r>
              <w:rPr>
                <w:rFonts w:hint="eastAsia"/>
                <w:sz w:val="24"/>
              </w:rPr>
              <w:t>(</w:t>
            </w:r>
            <w:r>
              <w:rPr>
                <w:rFonts w:hint="eastAsia"/>
                <w:sz w:val="24"/>
              </w:rPr>
              <w:t>特例子会社</w:t>
            </w:r>
            <w:r>
              <w:rPr>
                <w:rFonts w:hint="eastAsia"/>
                <w:sz w:val="24"/>
              </w:rPr>
              <w:t>)</w:t>
            </w:r>
          </w:p>
        </w:tc>
      </w:tr>
      <w:tr>
        <w:trPr>
          <w:trHeight w:val="359" w:hRule="atLeast"/>
        </w:trPr>
        <w:tc>
          <w:tcPr>
            <w:tcW w:w="1961" w:type="dxa"/>
            <w:vMerge w:val="continue"/>
            <w:vAlign w:val="top"/>
          </w:tcPr>
          <w:p>
            <w:pPr>
              <w:pStyle w:val="0"/>
              <w:ind w:left="-24"/>
              <w:rPr>
                <w:rFonts w:hint="default"/>
                <w:sz w:val="24"/>
              </w:rPr>
            </w:pPr>
          </w:p>
        </w:tc>
        <w:tc>
          <w:tcPr>
            <w:tcW w:w="6454" w:type="dxa"/>
            <w:vAlign w:val="top"/>
          </w:tcPr>
          <w:p>
            <w:pPr>
              <w:pStyle w:val="0"/>
              <w:rPr>
                <w:rFonts w:hint="default"/>
                <w:sz w:val="24"/>
              </w:rPr>
            </w:pPr>
            <w:r>
              <w:rPr>
                <w:rFonts w:hint="eastAsia"/>
                <w:sz w:val="24"/>
              </w:rPr>
              <w:t>重度障害者多数雇用事業所</w:t>
            </w:r>
            <w:r>
              <w:rPr>
                <w:rFonts w:hint="eastAsia"/>
                <w:sz w:val="24"/>
              </w:rPr>
              <w:t>(</w:t>
            </w:r>
            <w:r>
              <w:rPr>
                <w:rFonts w:hint="eastAsia"/>
                <w:sz w:val="24"/>
              </w:rPr>
              <w:t>次の全ての要件を満たすもの</w:t>
            </w:r>
            <w:r>
              <w:rPr>
                <w:rFonts w:hint="eastAsia"/>
                <w:sz w:val="24"/>
              </w:rPr>
              <w:t>)</w:t>
            </w:r>
          </w:p>
          <w:p>
            <w:pPr>
              <w:pStyle w:val="0"/>
              <w:rPr>
                <w:rFonts w:hint="default"/>
                <w:sz w:val="24"/>
              </w:rPr>
            </w:pPr>
            <w:r>
              <w:rPr>
                <w:rFonts w:hint="eastAsia"/>
                <w:sz w:val="24"/>
              </w:rPr>
              <w:t>・障害者の雇用者数が５人以上</w:t>
            </w:r>
          </w:p>
          <w:p>
            <w:pPr>
              <w:pStyle w:val="0"/>
              <w:rPr>
                <w:rFonts w:hint="default"/>
                <w:sz w:val="24"/>
              </w:rPr>
            </w:pPr>
            <w:r>
              <w:rPr>
                <w:rFonts w:hint="eastAsia"/>
                <w:sz w:val="24"/>
              </w:rPr>
              <w:t>・障害者の割合が従業員の２０パーセント以上</w:t>
            </w:r>
          </w:p>
          <w:p>
            <w:pPr>
              <w:pStyle w:val="0"/>
              <w:ind w:left="240" w:hanging="240" w:hangingChars="100"/>
              <w:rPr>
                <w:rFonts w:hint="default"/>
                <w:sz w:val="24"/>
              </w:rPr>
            </w:pPr>
            <w:r>
              <w:rPr>
                <w:rFonts w:hint="eastAsia"/>
                <w:sz w:val="24"/>
              </w:rPr>
              <w:t>・雇用障害者に占める重度身体障害者、知的障害者及び精神障害者の割合が３０パーセント以上</w:t>
            </w:r>
          </w:p>
        </w:tc>
      </w:tr>
      <w:tr>
        <w:trPr>
          <w:trHeight w:val="124" w:hRule="atLeast"/>
        </w:trPr>
        <w:tc>
          <w:tcPr>
            <w:tcW w:w="1961" w:type="dxa"/>
            <w:vMerge w:val="restart"/>
            <w:vAlign w:val="top"/>
          </w:tcPr>
          <w:p>
            <w:pPr>
              <w:pStyle w:val="0"/>
              <w:rPr>
                <w:rFonts w:hint="default"/>
                <w:sz w:val="24"/>
              </w:rPr>
            </w:pPr>
            <w:r>
              <w:rPr>
                <w:rFonts w:hint="eastAsia"/>
                <w:sz w:val="24"/>
              </w:rPr>
              <w:t>障害者雇用促進法に基づく在宅就業障害者等</w:t>
            </w:r>
          </w:p>
        </w:tc>
        <w:tc>
          <w:tcPr>
            <w:tcW w:w="6454" w:type="dxa"/>
            <w:vAlign w:val="top"/>
          </w:tcPr>
          <w:p>
            <w:pPr>
              <w:pStyle w:val="0"/>
              <w:rPr>
                <w:rFonts w:hint="default"/>
                <w:sz w:val="24"/>
              </w:rPr>
            </w:pPr>
            <w:r>
              <w:rPr>
                <w:rFonts w:hint="eastAsia"/>
                <w:sz w:val="24"/>
              </w:rPr>
              <w:t>自宅等において物品の製造、役務の提供等の業務を自ら行う障害者</w:t>
            </w:r>
            <w:r>
              <w:rPr>
                <w:rFonts w:hint="eastAsia"/>
                <w:sz w:val="24"/>
              </w:rPr>
              <w:t>(</w:t>
            </w:r>
            <w:r>
              <w:rPr>
                <w:rFonts w:hint="eastAsia"/>
                <w:sz w:val="24"/>
              </w:rPr>
              <w:t>在宅就業障害者</w:t>
            </w:r>
            <w:r>
              <w:rPr>
                <w:rFonts w:hint="eastAsia"/>
                <w:sz w:val="24"/>
              </w:rPr>
              <w:t>)</w:t>
            </w:r>
          </w:p>
        </w:tc>
      </w:tr>
      <w:tr>
        <w:trPr>
          <w:trHeight w:val="185" w:hRule="atLeast"/>
        </w:trPr>
        <w:tc>
          <w:tcPr>
            <w:tcW w:w="1961" w:type="dxa"/>
            <w:vMerge w:val="continue"/>
            <w:vAlign w:val="top"/>
          </w:tcPr>
          <w:p>
            <w:pPr>
              <w:pStyle w:val="0"/>
              <w:ind w:left="-24"/>
              <w:rPr>
                <w:rFonts w:hint="default"/>
                <w:sz w:val="24"/>
              </w:rPr>
            </w:pPr>
          </w:p>
        </w:tc>
        <w:tc>
          <w:tcPr>
            <w:tcW w:w="6454" w:type="dxa"/>
            <w:vAlign w:val="top"/>
          </w:tcPr>
          <w:p>
            <w:pPr>
              <w:pStyle w:val="0"/>
              <w:rPr>
                <w:rFonts w:hint="default"/>
                <w:sz w:val="24"/>
              </w:rPr>
            </w:pPr>
            <w:r>
              <w:rPr>
                <w:rFonts w:hint="eastAsia"/>
                <w:sz w:val="24"/>
              </w:rPr>
              <w:t>在宅就業障害者に対する援助の業務等を行う団体</w:t>
            </w:r>
            <w:r>
              <w:rPr>
                <w:rFonts w:hint="eastAsia"/>
                <w:sz w:val="24"/>
              </w:rPr>
              <w:t>(</w:t>
            </w:r>
            <w:r>
              <w:rPr>
                <w:rFonts w:hint="eastAsia"/>
                <w:sz w:val="24"/>
              </w:rPr>
              <w:t>在宅就業支援団体</w:t>
            </w:r>
            <w:r>
              <w:rPr>
                <w:rFonts w:hint="eastAsia"/>
                <w:sz w:val="24"/>
              </w:rPr>
              <w:t>)</w:t>
            </w:r>
          </w:p>
        </w:tc>
      </w:tr>
    </w:tbl>
    <w:p>
      <w:pPr>
        <w:pStyle w:val="0"/>
        <w:rPr>
          <w:rFonts w:hint="default"/>
          <w:sz w:val="24"/>
        </w:rPr>
      </w:pPr>
    </w:p>
    <w:sectPr>
      <w:pgSz w:w="11906" w:h="16838"/>
      <w:pgMar w:top="1985"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45A66C54"/>
    <w:lvl w:ilvl="0">
      <w:start w:val="1"/>
      <w:numFmt w:val="decimalFullWidth"/>
      <w:pStyle w:val="1"/>
      <w:lvlText w:val="%1"/>
      <w:lvlJc w:val="left"/>
      <w:pPr>
        <w:ind w:left="425" w:hanging="425"/>
      </w:pPr>
    </w:lvl>
    <w:lvl w:ilvl="1">
      <w:start w:val="1"/>
      <w:numFmt w:val="decimalFullWidth"/>
      <w:pStyle w:val="2"/>
      <w:lvlText w:val="（%2）"/>
      <w:lvlJc w:val="left"/>
      <w:pPr>
        <w:ind w:left="851" w:hanging="426"/>
      </w:pPr>
      <w:rPr>
        <w:rFonts w:hint="default"/>
      </w:r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rFonts w:ascii="ＭＳ 明朝" w:hAnsi="ＭＳ 明朝"/>
    </w:rPr>
  </w:style>
  <w:style w:type="paragraph" w:styleId="1">
    <w:name w:val="heading 1"/>
    <w:basedOn w:val="0"/>
    <w:next w:val="0"/>
    <w:link w:val="21"/>
    <w:uiPriority w:val="0"/>
    <w:qFormat/>
    <w:pPr>
      <w:keepNext w:val="1"/>
      <w:numPr>
        <w:ilvl w:val="0"/>
        <w:numId w:val="1"/>
      </w:numPr>
      <w:outlineLvl w:val="0"/>
    </w:pPr>
    <w:rPr>
      <w:rFonts w:asciiTheme="majorHAnsi" w:hAnsiTheme="majorHAnsi" w:eastAsiaTheme="majorEastAsia"/>
      <w:sz w:val="24"/>
    </w:rPr>
  </w:style>
  <w:style w:type="paragraph" w:styleId="2">
    <w:name w:val="heading 2"/>
    <w:basedOn w:val="0"/>
    <w:next w:val="0"/>
    <w:link w:val="22"/>
    <w:uiPriority w:val="0"/>
    <w:qFormat/>
    <w:pPr>
      <w:keepNext w:val="1"/>
      <w:numPr>
        <w:ilvl w:val="1"/>
        <w:numId w:val="1"/>
      </w:numPr>
      <w:outlineLvl w:val="1"/>
    </w:pPr>
    <w:rPr>
      <w:rFonts w:asciiTheme="majorHAnsi" w:hAnsiTheme="majorHAnsi" w:eastAsiaTheme="majorEastAsia"/>
    </w:rPr>
  </w:style>
  <w:style w:type="paragraph" w:styleId="3">
    <w:name w:val="heading 3"/>
    <w:basedOn w:val="0"/>
    <w:next w:val="0"/>
    <w:link w:val="23"/>
    <w:uiPriority w:val="0"/>
    <w:qFormat/>
    <w:pPr>
      <w:keepNext w:val="1"/>
      <w:numPr>
        <w:ilvl w:val="2"/>
        <w:numId w:val="1"/>
      </w:numPr>
      <w:outlineLvl w:val="2"/>
    </w:pPr>
    <w:rPr>
      <w:rFonts w:asciiTheme="majorHAnsi" w:hAnsiTheme="majorHAnsi" w:eastAsiaTheme="majorEastAsia"/>
    </w:rPr>
  </w:style>
  <w:style w:type="paragraph" w:styleId="4">
    <w:name w:val="heading 4"/>
    <w:basedOn w:val="0"/>
    <w:next w:val="0"/>
    <w:link w:val="24"/>
    <w:uiPriority w:val="0"/>
    <w:qFormat/>
    <w:pPr>
      <w:keepNext w:val="1"/>
      <w:numPr>
        <w:ilvl w:val="3"/>
        <w:numId w:val="1"/>
      </w:numPr>
      <w:outlineLvl w:val="3"/>
    </w:pPr>
    <w:rPr>
      <w:b w:val="1"/>
    </w:rPr>
  </w:style>
  <w:style w:type="paragraph" w:styleId="5">
    <w:name w:val="heading 5"/>
    <w:basedOn w:val="0"/>
    <w:next w:val="0"/>
    <w:link w:val="25"/>
    <w:uiPriority w:val="0"/>
    <w:qFormat/>
    <w:pPr>
      <w:keepNext w:val="1"/>
      <w:numPr>
        <w:ilvl w:val="4"/>
        <w:numId w:val="1"/>
      </w:numPr>
      <w:outlineLvl w:val="4"/>
    </w:pPr>
    <w:rPr>
      <w:rFonts w:asciiTheme="majorHAnsi" w:hAnsiTheme="majorHAnsi" w:eastAsiaTheme="majorEastAsia"/>
    </w:rPr>
  </w:style>
  <w:style w:type="paragraph" w:styleId="6">
    <w:name w:val="heading 6"/>
    <w:basedOn w:val="0"/>
    <w:next w:val="0"/>
    <w:link w:val="26"/>
    <w:uiPriority w:val="0"/>
    <w:qFormat/>
    <w:pPr>
      <w:keepNext w:val="1"/>
      <w:numPr>
        <w:ilvl w:val="5"/>
        <w:numId w:val="1"/>
      </w:numPr>
      <w:outlineLvl w:val="5"/>
    </w:pPr>
    <w:rPr>
      <w:b w:val="1"/>
    </w:rPr>
  </w:style>
  <w:style w:type="paragraph" w:styleId="7">
    <w:name w:val="heading 7"/>
    <w:basedOn w:val="0"/>
    <w:next w:val="0"/>
    <w:link w:val="27"/>
    <w:uiPriority w:val="0"/>
    <w:qFormat/>
    <w:pPr>
      <w:keepNext w:val="1"/>
      <w:numPr>
        <w:ilvl w:val="6"/>
        <w:numId w:val="1"/>
      </w:numPr>
      <w:outlineLvl w:val="6"/>
    </w:pPr>
  </w:style>
  <w:style w:type="paragraph" w:styleId="8">
    <w:name w:val="heading 8"/>
    <w:basedOn w:val="0"/>
    <w:next w:val="0"/>
    <w:link w:val="28"/>
    <w:uiPriority w:val="0"/>
    <w:qFormat/>
    <w:pPr>
      <w:keepNext w:val="1"/>
      <w:numPr>
        <w:ilvl w:val="7"/>
        <w:numId w:val="1"/>
      </w:numPr>
      <w:outlineLvl w:val="7"/>
    </w:pPr>
  </w:style>
  <w:style w:type="paragraph" w:styleId="9">
    <w:name w:val="heading 9"/>
    <w:basedOn w:val="0"/>
    <w:next w:val="0"/>
    <w:link w:val="29"/>
    <w:uiPriority w:val="0"/>
    <w:qFormat/>
    <w:pPr>
      <w:keepNext w:val="1"/>
      <w:numPr>
        <w:ilvl w:val="8"/>
        <w:numId w:val="1"/>
      </w:numPr>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ゴシック" w:hAnsi="ＭＳ ゴシック"/>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List Paragraph"/>
    <w:basedOn w:val="0"/>
    <w:next w:val="20"/>
    <w:link w:val="0"/>
    <w:uiPriority w:val="0"/>
    <w:qFormat/>
    <w:pPr>
      <w:ind w:left="840" w:leftChars="400"/>
    </w:pPr>
  </w:style>
  <w:style w:type="character" w:styleId="21" w:customStyle="1">
    <w:name w:val="見出し 1 (文字)"/>
    <w:basedOn w:val="10"/>
    <w:next w:val="21"/>
    <w:link w:val="1"/>
    <w:uiPriority w:val="0"/>
    <w:rPr>
      <w:rFonts w:asciiTheme="majorHAnsi" w:hAnsiTheme="majorHAnsi" w:eastAsiaTheme="majorEastAsia"/>
      <w:sz w:val="24"/>
    </w:rPr>
  </w:style>
  <w:style w:type="character" w:styleId="22" w:customStyle="1">
    <w:name w:val="見出し 2 (文字)"/>
    <w:basedOn w:val="10"/>
    <w:next w:val="22"/>
    <w:link w:val="2"/>
    <w:uiPriority w:val="0"/>
    <w:rPr>
      <w:rFonts w:asciiTheme="majorHAnsi" w:hAnsiTheme="majorHAnsi" w:eastAsiaTheme="majorEastAsia"/>
    </w:rPr>
  </w:style>
  <w:style w:type="character" w:styleId="23" w:customStyle="1">
    <w:name w:val="見出し 3 (文字)"/>
    <w:basedOn w:val="10"/>
    <w:next w:val="23"/>
    <w:link w:val="3"/>
    <w:uiPriority w:val="0"/>
    <w:rPr>
      <w:rFonts w:asciiTheme="majorHAnsi" w:hAnsiTheme="majorHAnsi" w:eastAsiaTheme="majorEastAsia"/>
    </w:rPr>
  </w:style>
  <w:style w:type="character" w:styleId="24" w:customStyle="1">
    <w:name w:val="見出し 4 (文字)"/>
    <w:basedOn w:val="10"/>
    <w:next w:val="24"/>
    <w:link w:val="4"/>
    <w:uiPriority w:val="0"/>
    <w:rPr>
      <w:rFonts w:ascii="ＭＳ 明朝" w:hAnsi="ＭＳ 明朝"/>
      <w:b w:val="1"/>
    </w:rPr>
  </w:style>
  <w:style w:type="character" w:styleId="25" w:customStyle="1">
    <w:name w:val="見出し 5 (文字)"/>
    <w:basedOn w:val="10"/>
    <w:next w:val="25"/>
    <w:link w:val="5"/>
    <w:uiPriority w:val="0"/>
    <w:rPr>
      <w:rFonts w:asciiTheme="majorHAnsi" w:hAnsiTheme="majorHAnsi" w:eastAsiaTheme="majorEastAsia"/>
    </w:rPr>
  </w:style>
  <w:style w:type="character" w:styleId="26" w:customStyle="1">
    <w:name w:val="見出し 6 (文字)"/>
    <w:basedOn w:val="10"/>
    <w:next w:val="26"/>
    <w:link w:val="6"/>
    <w:uiPriority w:val="0"/>
    <w:rPr>
      <w:rFonts w:ascii="ＭＳ 明朝" w:hAnsi="ＭＳ 明朝"/>
      <w:b w:val="1"/>
    </w:rPr>
  </w:style>
  <w:style w:type="character" w:styleId="27" w:customStyle="1">
    <w:name w:val="見出し 7 (文字)"/>
    <w:basedOn w:val="10"/>
    <w:next w:val="27"/>
    <w:link w:val="7"/>
    <w:uiPriority w:val="0"/>
    <w:rPr>
      <w:rFonts w:ascii="ＭＳ 明朝" w:hAnsi="ＭＳ 明朝"/>
    </w:rPr>
  </w:style>
  <w:style w:type="character" w:styleId="28" w:customStyle="1">
    <w:name w:val="見出し 8 (文字)"/>
    <w:basedOn w:val="10"/>
    <w:next w:val="28"/>
    <w:link w:val="8"/>
    <w:uiPriority w:val="0"/>
    <w:rPr>
      <w:rFonts w:ascii="ＭＳ 明朝" w:hAnsi="ＭＳ 明朝"/>
    </w:rPr>
  </w:style>
  <w:style w:type="character" w:styleId="29" w:customStyle="1">
    <w:name w:val="見出し 9 (文字)"/>
    <w:basedOn w:val="10"/>
    <w:next w:val="29"/>
    <w:link w:val="9"/>
    <w:uiPriority w:val="0"/>
    <w:rPr>
      <w:rFonts w:ascii="ＭＳ 明朝" w:hAnsi="ＭＳ 明朝"/>
    </w:rPr>
  </w:style>
  <w:style w:type="paragraph" w:styleId="30">
    <w:name w:val="Balloon Text"/>
    <w:basedOn w:val="0"/>
    <w:next w:val="30"/>
    <w:link w:val="31"/>
    <w:uiPriority w:val="0"/>
    <w:semiHidden/>
    <w:rPr>
      <w:rFonts w:asciiTheme="majorHAnsi" w:hAnsiTheme="majorHAnsi" w:eastAsiaTheme="majorEastAsia"/>
      <w:sz w:val="18"/>
    </w:rPr>
  </w:style>
  <w:style w:type="character" w:styleId="31" w:customStyle="1">
    <w:name w:val="吹き出し (文字)"/>
    <w:basedOn w:val="10"/>
    <w:next w:val="31"/>
    <w:link w:val="30"/>
    <w:uiPriority w:val="0"/>
    <w:rPr>
      <w:rFonts w:asciiTheme="majorHAnsi" w:hAnsiTheme="majorHAnsi" w:eastAsiaTheme="majorEastAsia"/>
      <w:sz w:val="18"/>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291</TotalTime>
  <Pages>2</Pages>
  <Words>0</Words>
  <Characters>1301</Characters>
  <Application>JUST Note</Application>
  <Lines>688</Lines>
  <Paragraphs>60</Paragraphs>
  <CharactersWithSpaces>1323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佐藤 洋子</dc:creator>
  <cp:lastModifiedBy>FJPCA221015a</cp:lastModifiedBy>
  <cp:lastPrinted>2021-03-25T07:18:00Z</cp:lastPrinted>
  <dcterms:created xsi:type="dcterms:W3CDTF">2015-06-18T02:23:00Z</dcterms:created>
  <dcterms:modified xsi:type="dcterms:W3CDTF">2021-03-25T07:38:06Z</dcterms:modified>
  <cp:revision>15</cp:revision>
</cp:coreProperties>
</file>